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22" w:rsidRDefault="00D92C2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92C22" w:rsidRDefault="00D92C22">
      <w:pPr>
        <w:pStyle w:val="ConsPlusNormal"/>
        <w:jc w:val="both"/>
        <w:outlineLvl w:val="0"/>
      </w:pPr>
    </w:p>
    <w:p w:rsidR="00D92C22" w:rsidRDefault="00D92C22">
      <w:pPr>
        <w:pStyle w:val="ConsPlusNormal"/>
        <w:outlineLvl w:val="0"/>
      </w:pPr>
      <w:r>
        <w:t>Зарегистрировано в Минюсте России 7 декабря 2021 г. N 66211</w:t>
      </w:r>
    </w:p>
    <w:p w:rsidR="00D92C22" w:rsidRDefault="00D92C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</w:pPr>
      <w:r>
        <w:t>МИНИСТЕРСТВО ПРОСВЕЩЕНИЯ РОССИЙСКОЙ ФЕДЕРАЦИИ</w:t>
      </w:r>
    </w:p>
    <w:p w:rsidR="00D92C22" w:rsidRDefault="00D92C22">
      <w:pPr>
        <w:pStyle w:val="ConsPlusTitle"/>
        <w:jc w:val="center"/>
      </w:pPr>
    </w:p>
    <w:p w:rsidR="00D92C22" w:rsidRDefault="00D92C22">
      <w:pPr>
        <w:pStyle w:val="ConsPlusTitle"/>
        <w:jc w:val="center"/>
      </w:pPr>
      <w:r>
        <w:t>ПРИКАЗ</w:t>
      </w:r>
    </w:p>
    <w:p w:rsidR="00D92C22" w:rsidRDefault="00D92C22">
      <w:pPr>
        <w:pStyle w:val="ConsPlusTitle"/>
        <w:jc w:val="center"/>
      </w:pPr>
      <w:r>
        <w:t>от 8 ноября 2021 г. N 800</w:t>
      </w:r>
    </w:p>
    <w:p w:rsidR="00D92C22" w:rsidRDefault="00D92C22">
      <w:pPr>
        <w:pStyle w:val="ConsPlusTitle"/>
        <w:jc w:val="center"/>
      </w:pPr>
    </w:p>
    <w:p w:rsidR="00D92C22" w:rsidRDefault="00D92C22">
      <w:pPr>
        <w:pStyle w:val="ConsPlusTitle"/>
        <w:jc w:val="center"/>
      </w:pPr>
      <w:r>
        <w:t>ОБ УТВЕРЖДЕНИИ ПОРЯДКА</w:t>
      </w:r>
    </w:p>
    <w:p w:rsidR="00D92C22" w:rsidRDefault="00D92C22">
      <w:pPr>
        <w:pStyle w:val="ConsPlusTitle"/>
        <w:jc w:val="center"/>
      </w:pPr>
      <w:r>
        <w:t>ПРОВЕДЕНИЯ ГОСУДАРСТВЕННОЙ ИТОГОВОЙ АТТЕСТАЦИИ</w:t>
      </w:r>
    </w:p>
    <w:p w:rsidR="00D92C22" w:rsidRDefault="00D92C22">
      <w:pPr>
        <w:pStyle w:val="ConsPlusTitle"/>
        <w:jc w:val="center"/>
      </w:pPr>
      <w:r>
        <w:t>ПО ОБРАЗОВАТЕЛЬНЫМ ПРОГРАММАМ СРЕДНЕГО</w:t>
      </w:r>
    </w:p>
    <w:p w:rsidR="00D92C22" w:rsidRDefault="00D92C22">
      <w:pPr>
        <w:pStyle w:val="ConsPlusTitle"/>
        <w:jc w:val="center"/>
      </w:pPr>
      <w:r>
        <w:t>ПРОФЕССИОНАЛЬНОГО ОБРАЗОВАНИЯ</w:t>
      </w:r>
    </w:p>
    <w:p w:rsidR="00D92C22" w:rsidRDefault="00D92C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2C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C22" w:rsidRDefault="00D92C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C22" w:rsidRDefault="00D92C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C22" w:rsidRDefault="00D92C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C22" w:rsidRDefault="00D92C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05.05.2022 </w:t>
            </w:r>
            <w:hyperlink r:id="rId6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2C22" w:rsidRDefault="00D92C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7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C22" w:rsidRDefault="00D92C22">
            <w:pPr>
              <w:pStyle w:val="ConsPlusNormal"/>
            </w:pPr>
          </w:p>
        </w:tc>
      </w:tr>
    </w:tbl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4134), </w:t>
      </w:r>
      <w:hyperlink r:id="rId9">
        <w:r>
          <w:rPr>
            <w:color w:val="0000FF"/>
          </w:rPr>
          <w:t>пунктом 1</w:t>
        </w:r>
      </w:hyperlink>
      <w:r>
        <w:t xml:space="preserve"> и </w:t>
      </w:r>
      <w:hyperlink r:id="rId10">
        <w:r>
          <w:rPr>
            <w:color w:val="0000FF"/>
          </w:rPr>
          <w:t>подпунктом 4.2.25(1)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2">
        <w:r>
          <w:rPr>
            <w:color w:val="0000FF"/>
          </w:rPr>
          <w:t>Порядок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Студенты (курсанты), завершающие освоение имеющих государственную аккредитацию образовательных программ среднего профессионального образования в период с 1 сентября 2022 г. до 1 марта 2023 г., проходят государственную итоговую аттестацию по образовательным программам среднего профессионального образования в формах государственной итоговой аттестации, предусмотренных программой государственной итоговой аттестации, утвержденной образовательной организацией до 1 сентября 2022 г.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проведения государственной итоговой аттестации</w:t>
      </w:r>
      <w:proofErr w:type="gramEnd"/>
      <w:r>
        <w:t xml:space="preserve"> </w:t>
      </w:r>
      <w:proofErr w:type="gramStart"/>
      <w:r>
        <w:t>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 августа 2013 г. N 968 (зарегистрирован Министерством юстиции Российской Федерации 1 ноября 2013 г., регистрационный N 30306), с изменениями, внесенными приказами Министерства образования и науки Российской Федерации от 31 января 2014 г. N 74 (зарегистрирован Министерством юстиции Российской Федерации 5 марта 2014 г., регистрационный</w:t>
      </w:r>
      <w:proofErr w:type="gramEnd"/>
      <w:r>
        <w:t xml:space="preserve"> </w:t>
      </w:r>
      <w:proofErr w:type="gramStart"/>
      <w:r>
        <w:t>N 31524), от 17 ноября 2017 г. N 1138 (зарегистрирован Министерством юстиции Российской Федерации 12 декабря 2017 г., регистрационный N 49221) и приказом Министерства просвещения Российской Федерации от 10 ноября 2020 г. N 630 (зарегистрирован Министерством юстиции Российской Федерации 1 декабря 2020 г., регистрационный N 61179).</w:t>
      </w:r>
      <w:proofErr w:type="gramEnd"/>
    </w:p>
    <w:p w:rsidR="00D92C22" w:rsidRDefault="00D92C22">
      <w:pPr>
        <w:pStyle w:val="ConsPlusNormal"/>
        <w:jc w:val="both"/>
      </w:pPr>
      <w:r>
        <w:t xml:space="preserve">(п. 2 </w:t>
      </w:r>
      <w:proofErr w:type="gramStart"/>
      <w:r>
        <w:t>введен</w:t>
      </w:r>
      <w:proofErr w:type="gramEnd"/>
      <w:r>
        <w:t xml:space="preserve"> </w:t>
      </w:r>
      <w:hyperlink r:id="rId12">
        <w:r>
          <w:rPr>
            <w:color w:val="0000FF"/>
          </w:rPr>
          <w:t>Приказом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3</w:t>
        </w:r>
      </w:hyperlink>
      <w:r>
        <w:t>. Признать утратившими силу:</w:t>
      </w:r>
    </w:p>
    <w:p w:rsidR="00D92C22" w:rsidRDefault="00D92C22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30306);</w:t>
      </w:r>
    </w:p>
    <w:p w:rsidR="00D92C22" w:rsidRDefault="00D92C22">
      <w:pPr>
        <w:pStyle w:val="ConsPlusNormal"/>
        <w:spacing w:before="220"/>
        <w:ind w:firstLine="540"/>
        <w:jc w:val="both"/>
      </w:pPr>
      <w:hyperlink r:id="rId15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31 января 2014 г. N 74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5 марта 2014 г., регистрационный N 31524);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ноября 2017 г. N 1138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12 декабря 2017 г., регистрационный N 49221);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hyperlink r:id="rId17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10 ноября 2020 г. N 630 "О внесении изменения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968" (зарегистрирован Министерством юстиции Российской Федерации 1 декабря 2020 г., регистрационный N 61179).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4</w:t>
        </w:r>
      </w:hyperlink>
      <w:r>
        <w:t>. Настоящий приказ вступает в силу с 1 сентября 2022 г. и действует до 1 сентября 2028 года.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Министра</w:t>
      </w:r>
    </w:p>
    <w:p w:rsidR="00D92C22" w:rsidRDefault="00D92C22">
      <w:pPr>
        <w:pStyle w:val="ConsPlusNormal"/>
        <w:jc w:val="right"/>
      </w:pPr>
      <w:r>
        <w:t>А.В.БУГАЕВ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right"/>
        <w:outlineLvl w:val="0"/>
      </w:pPr>
      <w:r>
        <w:t>Приложение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right"/>
      </w:pPr>
      <w:r>
        <w:t>Утвержден</w:t>
      </w:r>
    </w:p>
    <w:p w:rsidR="00D92C22" w:rsidRDefault="00D92C22">
      <w:pPr>
        <w:pStyle w:val="ConsPlusNormal"/>
        <w:jc w:val="right"/>
      </w:pPr>
      <w:r>
        <w:t>приказом Министерства просвещения</w:t>
      </w:r>
    </w:p>
    <w:p w:rsidR="00D92C22" w:rsidRDefault="00D92C22">
      <w:pPr>
        <w:pStyle w:val="ConsPlusNormal"/>
        <w:jc w:val="right"/>
      </w:pPr>
      <w:r>
        <w:t>Российской Федерации</w:t>
      </w:r>
    </w:p>
    <w:p w:rsidR="00D92C22" w:rsidRDefault="00D92C22">
      <w:pPr>
        <w:pStyle w:val="ConsPlusNormal"/>
        <w:jc w:val="right"/>
      </w:pPr>
      <w:r>
        <w:t>от 8 ноября 2021 г. N 800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</w:pPr>
      <w:bookmarkStart w:id="0" w:name="P42"/>
      <w:bookmarkEnd w:id="0"/>
      <w:r>
        <w:t>ПОРЯДОК</w:t>
      </w:r>
    </w:p>
    <w:p w:rsidR="00D92C22" w:rsidRDefault="00D92C22">
      <w:pPr>
        <w:pStyle w:val="ConsPlusTitle"/>
        <w:jc w:val="center"/>
      </w:pPr>
      <w:r>
        <w:t>ПРОВЕДЕНИЯ ГОСУДАРСТВЕННОЙ ИТОГОВОЙ АТТЕСТАЦИИ</w:t>
      </w:r>
    </w:p>
    <w:p w:rsidR="00D92C22" w:rsidRDefault="00D92C22">
      <w:pPr>
        <w:pStyle w:val="ConsPlusTitle"/>
        <w:jc w:val="center"/>
      </w:pPr>
      <w:r>
        <w:t>ПО ОБРАЗОВАТЕЛЬНЫМ ПРОГРАММАМ СРЕДНЕГО</w:t>
      </w:r>
    </w:p>
    <w:p w:rsidR="00D92C22" w:rsidRDefault="00D92C22">
      <w:pPr>
        <w:pStyle w:val="ConsPlusTitle"/>
        <w:jc w:val="center"/>
      </w:pPr>
      <w:r>
        <w:t>ПРОФЕССИОНАЛЬНОГО ОБРАЗОВАНИЯ</w:t>
      </w:r>
    </w:p>
    <w:p w:rsidR="00D92C22" w:rsidRDefault="00D92C2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92C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C22" w:rsidRDefault="00D92C2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C22" w:rsidRDefault="00D92C2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2C22" w:rsidRDefault="00D92C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2C22" w:rsidRDefault="00D92C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Минпросвещения России от 05.05.2022 </w:t>
            </w:r>
            <w:hyperlink r:id="rId19">
              <w:r>
                <w:rPr>
                  <w:color w:val="0000FF"/>
                </w:rPr>
                <w:t>N 311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2C22" w:rsidRDefault="00D92C2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19.01.2023 </w:t>
            </w:r>
            <w:hyperlink r:id="rId20">
              <w:r>
                <w:rPr>
                  <w:color w:val="0000FF"/>
                </w:rPr>
                <w:t>N 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2C22" w:rsidRDefault="00D92C22">
            <w:pPr>
              <w:pStyle w:val="ConsPlusNormal"/>
            </w:pPr>
          </w:p>
        </w:tc>
      </w:tr>
    </w:tbl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I. Общие положения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проведения государственной итоговой аттестации по образовательным программам среднего профессионального образования (далее соответственно - Порядок, ГИА) устанавливает правила организации и проведения организациями, осуществляющими образовательную деятельность по образовательным программам среднего профессионального </w:t>
      </w:r>
      <w:r>
        <w:lastRenderedPageBreak/>
        <w:t>образования (далее - образовательные организации), ГИА студентов (курсантов) (далее - выпускники),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(программ подготовки квалифицированных рабочих, служащих и программ подготовки специалистов среднего</w:t>
      </w:r>
      <w:proofErr w:type="gramEnd"/>
      <w:r>
        <w:t xml:space="preserve"> </w:t>
      </w:r>
      <w:proofErr w:type="gramStart"/>
      <w:r>
        <w:t>звена) (далее - образовательные программы среднего профессионального образования),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r>
        <w:t>2. Обеспечение проведения ГИА осуществляется образовательными организациями.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3. Образовательные организации используют необходимые для организации образовательной деятельности средства обучения и воспитания при проведении ГИА выпускников.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4.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</w:t>
      </w:r>
      <w:hyperlink w:anchor="P171">
        <w:r>
          <w:rPr>
            <w:color w:val="0000FF"/>
          </w:rPr>
          <w:t>пунктом 36</w:t>
        </w:r>
      </w:hyperlink>
      <w:r>
        <w:t xml:space="preserve"> Порядка.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Лица, осваивающие образовательную программу среднего профессионального образования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образования, вправе пройти экстерном ГИА в образовательной организации по имеющей государственную аккредитацию образовательной программе среднего профессионального образования в соответствии с Порядком.</w:t>
      </w:r>
      <w:proofErr w:type="gramEnd"/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II. Формы ГИА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>6. ГИА проводится в следующих формах, если иное не установлено соответствующим федеральным государственным образовательным стандартом среднего профессионального образования (далее - ФГОС СПО):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а) демонстрационный экзамен для выпускников, осваивающих программы подготовки квалифицированных рабочих, служащих, за исключением программ, указанных в </w:t>
      </w:r>
      <w:hyperlink w:anchor="P63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б) демонстрационный экзамен и защита дипломного проекта (работы) для выпускников, осваивающих программы подготовки специалистов среднего звена, за исключением программ, указанных в </w:t>
      </w:r>
      <w:hyperlink w:anchor="P63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D92C22" w:rsidRDefault="00D92C22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в) государственный экзамен и (или) защита дипломного проекта (работы):</w:t>
      </w:r>
    </w:p>
    <w:p w:rsidR="00D92C22" w:rsidRDefault="00D92C22">
      <w:pPr>
        <w:pStyle w:val="ConsPlusNormal"/>
        <w:spacing w:before="220"/>
        <w:ind w:firstLine="540"/>
        <w:jc w:val="both"/>
      </w:pPr>
      <w:proofErr w:type="gramStart"/>
      <w:r>
        <w:t>для выпускников, осваивающих образовательные программы в области искусств, медицинского образования и фармацевтического образования, в области подготовки кадров в интересах обороны и безопасности государства, обеспечения законности и правопорядка, в области подготовки членов экипажей морских судов и судов внутреннего водного транспорта,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</w:t>
      </w:r>
      <w:proofErr w:type="gramEnd"/>
      <w:r>
        <w:t>, непосредственно связанных с движением поездов и маневровой работой, если иное не установлено соответствующим ФГОС СПО;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для выпускников, осваивающих образовательные программы среднего профессионального образования в специальных учебно-воспитательных учреждениях закрытого типа и учреждениях, </w:t>
      </w:r>
      <w:r>
        <w:lastRenderedPageBreak/>
        <w:t>исполняющих наказание в виде лишения свободы.</w:t>
      </w:r>
    </w:p>
    <w:p w:rsidR="00D92C22" w:rsidRDefault="00D92C22">
      <w:pPr>
        <w:pStyle w:val="ConsPlusNormal"/>
        <w:jc w:val="both"/>
      </w:pPr>
      <w:r>
        <w:t xml:space="preserve">(п. 6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7. ГИА выпускников, осваивающих образовательные программы в области медицинского образования и фармацевтического образования, проводится с учетом требований к аккредитации специалистов, установленных законодательством Российской Федерации в сфере охраны здоровья &lt;1&gt;.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>
        <w:r>
          <w:rPr>
            <w:color w:val="0000FF"/>
          </w:rPr>
          <w:t>Часть 3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>8. 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9. Демонстрационный экзамен проводится по двум уровням: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образования, установленных ФГОС СПО;</w:t>
      </w:r>
    </w:p>
    <w:p w:rsidR="00D92C22" w:rsidRDefault="00D92C22">
      <w:pPr>
        <w:pStyle w:val="ConsPlusNormal"/>
        <w:spacing w:before="220"/>
        <w:ind w:firstLine="540"/>
        <w:jc w:val="both"/>
      </w:pPr>
      <w:proofErr w:type="gramStart"/>
      <w:r>
        <w:t>демонстрационный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образования, установленных в соответствии с ФГОС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 договора о практической подготовке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(далее - организации-партнеры).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10. Дипломный проект (работа) направлен на систематизацию и закрепление знаний выпускника по специальности, а также определение уровня готовности выпускника к самостоятельной профессиональной деятельности. Дипломный 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сформированность его профессиональных умений и навыков.</w:t>
      </w:r>
    </w:p>
    <w:p w:rsidR="00D92C22" w:rsidRDefault="00D92C22">
      <w:pPr>
        <w:pStyle w:val="ConsPlusNormal"/>
        <w:spacing w:before="220"/>
        <w:ind w:firstLine="540"/>
        <w:jc w:val="both"/>
      </w:pPr>
      <w:proofErr w:type="gramStart"/>
      <w:r>
        <w:t>Дипломный проект (работа) выпускников, осваивающих образовательные программы в области искусств, предполагает различные виды подготовки, в том числе исполнение сольной программы/сольного номера, исполнение концертной программы с участием в сольных и ансамблевых/ансамблевых и хоровых номерах, дирижирование и работа с хором, участие в спектакле или иное, в соответствии с требованиями, установленными ФГОС СПО по соответствующей специальности.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r>
        <w:t>Тематика дипломных проектов (работ) определяется образовательной организацией. Выпускнику предоставляется право выбора темы дипломного проекта (работы), в том числе предложения своей темы с необходимым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lastRenderedPageBreak/>
        <w:t>Для подготовки дипломного проекта (работы) выпускнику назначается руководитель и при необходимости консультанты, оказывающие выпускнику методическую поддержку.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Закрепление за выпускниками тем дипломных проектов (работ), назначение руководителей и консультантов осуществляется распорядительным актом образовательной организации.</w:t>
      </w:r>
    </w:p>
    <w:p w:rsidR="00D92C22" w:rsidRDefault="00D92C22">
      <w:pPr>
        <w:pStyle w:val="ConsPlusNormal"/>
        <w:jc w:val="both"/>
      </w:pPr>
      <w:r>
        <w:t xml:space="preserve">(п. 10 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11. Государственный экзамен по отдельному профессиональному модулю (междисциплинарному курсу, дисциплине) или совокупности профессиональных модулей направлен на определение уровня освоения выпускником материала, предусмотренного учебным планом, и охватывает минимальное содержание данного профессионального модуля (междисциплинарного курса, дисциплины) или совокупности профессиональных модулей, установленное соответствующим ФГОС СПО.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III. Подготовка проведения ГИА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 xml:space="preserve">12. </w:t>
      </w:r>
      <w:proofErr w:type="gramStart"/>
      <w:r>
        <w:t>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(далее - ГЭК), создаваемыми образовательной организацией по каждой укрупненной группе профессий,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образования.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r>
        <w:t>ГЭК формируется из числа педагогических работников образовательных организаций, лиц, приглашенных из сторонних организаций, в том числе: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педагогических работников;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членов аккредитационных комиссий, сформированных Министерством здравоохранения Российской Федерации (при проведении ГИА выпускников, осваивающих образовательные программы в области медицинского образования и фармацевтического образования) &lt;2&gt;;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5">
        <w:r>
          <w:rPr>
            <w:color w:val="0000FF"/>
          </w:rPr>
          <w:t>Часть 3 статьи 69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5140).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 xml:space="preserve">Абзац утратил силу. - </w:t>
      </w:r>
      <w:hyperlink r:id="rId26">
        <w:r>
          <w:rPr>
            <w:color w:val="0000FF"/>
          </w:rPr>
          <w:t>Приказ</w:t>
        </w:r>
      </w:hyperlink>
      <w:r>
        <w:t xml:space="preserve"> Минпросвещения России от 19.01.2023 N 37.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13. 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группы профессий и специальностей, по которой проводится демонстрационный экзамен (далее соответственно - экспертная группа, эксперты).</w:t>
      </w:r>
    </w:p>
    <w:p w:rsidR="00D92C22" w:rsidRDefault="00D92C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13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14. Состав ГЭК утверждается распорядительным актом образовательной организации и действует в течение одного календарного года. В состав ГЭК входят председатель ГЭК, заместитель председателя ГЭК и члены ГЭК.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lastRenderedPageBreak/>
        <w:t>15. ГЭК возглавляет председатель, который организует и контролирует деятельность ГЭК, обеспечивает единство требований, предъявляемых к выпускникам.</w:t>
      </w:r>
    </w:p>
    <w:p w:rsidR="00D92C22" w:rsidRDefault="00D92C22">
      <w:pPr>
        <w:pStyle w:val="ConsPlusNormal"/>
        <w:spacing w:before="220"/>
        <w:ind w:firstLine="540"/>
        <w:jc w:val="both"/>
      </w:pPr>
      <w:proofErr w:type="gramStart"/>
      <w:r>
        <w:t>Председатель ГЭК утверждается не позднее 20 декабря текущего года на следующий календарный год (с 1 января по 31 декабря) по представлению образовательной организации органом местного самоуправления муниципального района, муниципального округа, городского округа, органом исполнительной власти субъекта Российской Федерации, федеральным органом исполнительной власти, в ведении которого соответственно находится образовательная организация, а в случае, если функции и полномочия учредителя образовательной организации осуществляет</w:t>
      </w:r>
      <w:proofErr w:type="gramEnd"/>
      <w:r>
        <w:t xml:space="preserve"> Правительство Российской Федерации - по представлению указанной образовательной организации Министерством просвещения Российской Федерации.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Председатель ГЭК частной образовательной организации утверждается по представлению частной образовательной организации органом исполнительной власти субъекта Российской Федерации, осуществляющим государственное управление в сфере образования, на территории которого находится частная образовательная организация.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Председателем ГЭК образовательной организации утверждается лицо, не работающее в образовательной организации, из числа: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16. Руководитель образовательной организации является заместителем председателя ГЭК.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17. Экспертная группа создается по каждой профессии, специальности среднего профессионального образования или виду деятельности, по которому проводится демонстрационный экзамен.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Экспертную группу возглавляет главный эксперт, назначаемый из числа экспертов, включенных в состав ГЭК.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18. К ГИА допускаются выпускники, не имеющие академической задолженности и в полном объеме выполнившие учебный план или индивидуальный учебный план &lt;4&gt;.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C22" w:rsidRDefault="00D92C22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&lt;4&gt;</w:t>
        </w:r>
      </w:hyperlink>
      <w:r>
        <w:t xml:space="preserve"> </w:t>
      </w:r>
      <w:hyperlink r:id="rId33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>19. Демонстрационный экзамен базового и 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 (далее - оценочные материалы), разрабатываемых организацией, определяемой Министерством просвещения Российской Федерации из числа подведомственных ему организаций &lt;4(1)&gt; (далее - оператор).</w:t>
      </w:r>
    </w:p>
    <w:p w:rsidR="00D92C22" w:rsidRDefault="00D92C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19 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&lt;4(1)&gt; </w:t>
      </w:r>
      <w:hyperlink r:id="rId35">
        <w:r>
          <w:rPr>
            <w:color w:val="0000FF"/>
          </w:rPr>
          <w:t>Пункт 3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5343).</w:t>
      </w:r>
    </w:p>
    <w:p w:rsidR="00D92C22" w:rsidRDefault="00D92C22">
      <w:pPr>
        <w:pStyle w:val="ConsPlusNormal"/>
        <w:jc w:val="both"/>
      </w:pPr>
      <w:r>
        <w:t xml:space="preserve">(сноска введена </w:t>
      </w:r>
      <w:hyperlink r:id="rId36">
        <w:r>
          <w:rPr>
            <w:color w:val="0000FF"/>
          </w:rPr>
          <w:t>Приказом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ind w:firstLine="540"/>
        <w:jc w:val="both"/>
      </w:pPr>
    </w:p>
    <w:p w:rsidR="00D92C22" w:rsidRDefault="00D92C22">
      <w:pPr>
        <w:pStyle w:val="ConsPlusNormal"/>
        <w:ind w:firstLine="540"/>
        <w:jc w:val="both"/>
      </w:pPr>
      <w:r>
        <w:t>20.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 заданий.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Задание демонстрационного экзамена включает комплексную практическую задачу, моделирующую профессиональную деятельность и выполняемую в режиме реального времени.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21. Комплекты оценочной документации для проведения демонстрационного экзамена профильного уровня разрабатываются оператором с участием организаций-партнеров, отраслевых и профессиональных сообществ.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информационно-телекоммуникационной сети "Интернет" (далее - сеть "Интернет") не позднее 1 октября года, предшествующего проведению ГИА.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Требования к дипломным проектам (работам), методика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"Интернет" единых оценочных материалов, включаются в программу ГИА.</w:t>
      </w:r>
      <w:proofErr w:type="gramEnd"/>
    </w:p>
    <w:p w:rsidR="00D92C22" w:rsidRDefault="00D92C22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23. ГИА выпускников не может быть </w:t>
      </w:r>
      <w:proofErr w:type="gramStart"/>
      <w:r>
        <w:t>заменена</w:t>
      </w:r>
      <w:proofErr w:type="gramEnd"/>
      <w:r>
        <w:t xml:space="preserve"> на оценку уровня их подготовки на основе текущего контроля успеваемости и результатов промежуточной аттестации, за исключением случая, предусмотренного </w:t>
      </w:r>
      <w:hyperlink w:anchor="P213">
        <w:r>
          <w:rPr>
            <w:color w:val="0000FF"/>
          </w:rPr>
          <w:t>пунктом 58</w:t>
        </w:r>
      </w:hyperlink>
      <w:r>
        <w:t xml:space="preserve"> Порядка.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24. Программа ГИА утверждается образовательной организацией после обсуждения на заседании педагогического (ученого) совета с участием председателей ГЭК, после чего доводится до сведения выпускников не позднее, чем за шесть месяцев до начала ГИА.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IV. Проведение ГИА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 xml:space="preserve">25. Демонстрационный экзамен проводится с использованием комплектов оценочной </w:t>
      </w:r>
      <w:r>
        <w:lastRenderedPageBreak/>
        <w:t>документации, включенных образовательными организациями в Программу ГИА.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26. 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Образовательная организация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27. 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Центр проведения экзамена может располагаться на территории образовательной организации, а при сетевой форме реализации образовательных программ - также на территории иной организации, обладающей необходимыми ресурсами для организации центра проведения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Выпускники проходят демонстрационный экзамен в центре проведения экзамена в составе экзаменационных групп.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28. 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образовательной организацией не </w:t>
      </w:r>
      <w:proofErr w:type="gramStart"/>
      <w:r>
        <w:t>позднее</w:t>
      </w:r>
      <w:proofErr w:type="gramEnd"/>
      <w:r>
        <w:t xml:space="preserve"> чем за двадцать календарных дней до даты проведения демонстрационного экзамена. Образовательная организация знакомит с планом проведения демонстрационного экзамена выпускников, сдающих демонстрационный экзамен, и лиц, обеспечивающих проведение демонстрационного экзамена, в срок не </w:t>
      </w:r>
      <w:proofErr w:type="gramStart"/>
      <w:r>
        <w:t>позднее</w:t>
      </w:r>
      <w:proofErr w:type="gramEnd"/>
      <w:r>
        <w:t xml:space="preserve"> чем за пять рабочих дней до даты проведения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29.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 экзамена в соответствии с комплектом оценочной документации.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30. 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:rsidR="00D92C22" w:rsidRDefault="00D92C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31. Не </w:t>
      </w:r>
      <w:proofErr w:type="gramStart"/>
      <w:r>
        <w:t>позднее</w:t>
      </w:r>
      <w:proofErr w:type="gramEnd"/>
      <w:r>
        <w:t xml:space="preserve">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32. 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</w:t>
      </w:r>
      <w:r>
        <w:lastRenderedPageBreak/>
        <w:t>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33. Технический эксперт под подпись знакомит главного эксперта, членов экспертной группы, выпускников с требованиями охраны труда и безопасности производства.</w:t>
      </w:r>
    </w:p>
    <w:p w:rsidR="00D92C22" w:rsidRDefault="00D92C22">
      <w:pPr>
        <w:pStyle w:val="ConsPlusNormal"/>
        <w:spacing w:before="220"/>
        <w:ind w:firstLine="540"/>
        <w:jc w:val="both"/>
      </w:pPr>
      <w:bookmarkStart w:id="2" w:name="P150"/>
      <w:bookmarkEnd w:id="2"/>
      <w:r>
        <w:t>34. В день проведения демонстрационного экзамена в центре проведения экзамена присутствуют: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а) руководитель (уполномоченный представитель) организации, на базе которой организован центр проведения экзамена;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б) не менее одного члена ГЭК, не считая членов экспертной группы;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в) члены экспертной группы;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г) главный эксперт;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д) представители организаций-партнеров (по согласованию с образовательной организацией);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е) выпускники;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ж) технический эксперт;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з) представитель образовательной организации, ответственный за сопровождение выпускников к центру проведения экзамена (при необходимости);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и)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к)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экзамена.</w:t>
      </w:r>
    </w:p>
    <w:p w:rsidR="00D92C22" w:rsidRDefault="00D92C22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Приказом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 экспертом вносится соответствующая запись в протокол проведения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:rsidR="00D92C22" w:rsidRDefault="00D92C22">
      <w:pPr>
        <w:pStyle w:val="ConsPlusNormal"/>
        <w:spacing w:before="220"/>
        <w:ind w:firstLine="540"/>
        <w:jc w:val="both"/>
      </w:pPr>
      <w:bookmarkStart w:id="3" w:name="P164"/>
      <w:bookmarkEnd w:id="3"/>
      <w:r>
        <w:t>35. В день проведения демонстрационного экзамена в центре проведения экзамена могут присутствовать: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б) представители оператора (по согласованию с образовательной организацией);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в) медицинские работники (по решению организации, на территории которой располагается центр проведения демонстрационного экзамена);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lastRenderedPageBreak/>
        <w:t>г) представители организаций-партнеров (по решению таких организаций по согласованию с образовательной организацией).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:rsidR="00D92C22" w:rsidRDefault="00D92C22">
      <w:pPr>
        <w:pStyle w:val="ConsPlusNormal"/>
        <w:spacing w:before="220"/>
        <w:ind w:firstLine="540"/>
        <w:jc w:val="both"/>
      </w:pPr>
      <w:bookmarkStart w:id="4" w:name="P171"/>
      <w:bookmarkEnd w:id="4"/>
      <w:r>
        <w:t xml:space="preserve">36. Лица, указанные в </w:t>
      </w:r>
      <w:hyperlink w:anchor="P150">
        <w:r>
          <w:rPr>
            <w:color w:val="0000FF"/>
          </w:rPr>
          <w:t>пунктах 34</w:t>
        </w:r>
      </w:hyperlink>
      <w:r>
        <w:t xml:space="preserve"> и </w:t>
      </w:r>
      <w:hyperlink w:anchor="P164">
        <w:r>
          <w:rPr>
            <w:color w:val="0000FF"/>
          </w:rPr>
          <w:t>35</w:t>
        </w:r>
      </w:hyperlink>
      <w:r>
        <w:t xml:space="preserve"> Порядка, обязаны: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37. 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38. Члены экспертной группы осуществляют оценку выполнения заданий демонстрационного экзамена самостоятельно.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</w:t>
      </w:r>
      <w:proofErr w:type="gramEnd"/>
      <w:r>
        <w:t xml:space="preserve"> производственной безопасности.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Главный эксперт может делать заметки о ходе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Главный эксперт обязан находиться в центре проведения экзамена до окончания демонстрационного экзамена, осуществлять </w:t>
      </w:r>
      <w:proofErr w:type="gramStart"/>
      <w:r>
        <w:t>контроль за</w:t>
      </w:r>
      <w:proofErr w:type="gramEnd"/>
      <w:r>
        <w:t xml:space="preserve"> соблюдением лицами, привлеченными к проведению демонстрационного экзамена, выпускниками требований Порядка.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40. При привлечении медицинского работника организация, на базе которой организован центр проведения экзамена, обязана организовать помещение, оборудованное для оказания первой помощи и первичной медико-санитарной помощи.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41. Технический экспе</w:t>
      </w:r>
      <w:proofErr w:type="gramStart"/>
      <w:r>
        <w:t>рт впр</w:t>
      </w:r>
      <w:proofErr w:type="gramEnd"/>
      <w:r>
        <w:t>аве: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наблюдать за ходом проведения демонстрационного экзамена;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безопасности;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останавливать в случаях, требующих немедленного решения, в целях охраны жизни и </w:t>
      </w:r>
      <w:r>
        <w:lastRenderedPageBreak/>
        <w:t>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эксперта.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42. Представитель образовательной организации располагается в изолированном от центра проведения экзамена помещении.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43. Образовательная организация обязана не </w:t>
      </w:r>
      <w:proofErr w:type="gramStart"/>
      <w:r>
        <w:t>позднее</w:t>
      </w:r>
      <w:proofErr w:type="gramEnd"/>
      <w:r>
        <w:t xml:space="preserve">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44. Выпускники вправе: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получить копию задания демонстрационного экзамена на бумажном носителе;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Выпускники обязаны: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документации;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во время проведения демонстрационного экзамена использовать только средства обучения и воспитания, разрешенные комплектом оценочной документации;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45.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46. В соответствии с планом проведения демонстрационного экзамена главный эксперт ознакамливает выпускников с заданиями, передает им копии заданий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47.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48. 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</w:t>
      </w:r>
      <w:r>
        <w:lastRenderedPageBreak/>
        <w:t>группе.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49. 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50. Центры проведения экзамена могут быть оборудованы средствами видеонаблюдения, позволяющими осуществлять видеозапись хода проведения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51.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52. Явка выпускника, его рабочее место,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53. В случае удаления из центра проведения экзамена выпускника, лица, привлеченного к проведению демонстрационного экзамена, или присутствующего в центре проведения экзамена, главным экспертом составляется акт об удалении. 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54. Главный эксперт сообщает выпускникам о течении времени выполнения задания демонстрационного экзамена каждые 60 минут, а также за 30 и 5 минут до окончания времени выполнения задания.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55.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Технический эксперт обеспечивает </w:t>
      </w:r>
      <w:proofErr w:type="gramStart"/>
      <w:r>
        <w:t>контроль за</w:t>
      </w:r>
      <w:proofErr w:type="gramEnd"/>
      <w:r>
        <w:t xml:space="preserve">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56. Выпускник по собственному желанию может завершить выполнение задания досрочно, уведомив об этом главного эксперта.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57.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bookmarkStart w:id="5" w:name="P213"/>
      <w:bookmarkEnd w:id="5"/>
      <w:r>
        <w:t>58. По решению ГЭК результаты демонстрационного экзамена, проведенного при участии оператора,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экзамена.</w:t>
      </w:r>
    </w:p>
    <w:p w:rsidR="00D92C22" w:rsidRDefault="00D92C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59. Сдача государственного экзамена и защита дипломных проектов (работ) (за исключением государственного экзамена и дипломных проектов (работ), затрагивающих вопросы государственной тайны) проводятся на открытых заседаниях ГЭК с участием не менее двух третей ее состава, не считая членов экспертной группы.</w:t>
      </w:r>
    </w:p>
    <w:p w:rsidR="00D92C22" w:rsidRDefault="00D92C2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V. Оценивание результатов ГИА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>60. 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61. Процедура </w:t>
      </w:r>
      <w:proofErr w:type="gramStart"/>
      <w:r>
        <w:t>оценивания результатов выполнения заданий демонстрационного экзамена</w:t>
      </w:r>
      <w:proofErr w:type="gramEnd"/>
      <w:r>
        <w:t xml:space="preserve"> осуществляется членами экспертной группы по 100-балльной системе в соответствии с требованиями комплекта оценочной документации.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62. 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При выставлении баллов присутствует член ГЭК, не входящий в экспертную группу, присутствие других лиц запрещено.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Оригинал протокола проведения демонстрационного экзамена передается на хранение в образовательную организацию в составе архивных документов.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63. </w:t>
      </w:r>
      <w:proofErr w:type="gramStart"/>
      <w:r>
        <w:t>Статус победителя, призера чемпионатов профессионального мастерства, проведенных Агентством (Союзом "Агентство развития профессиональных сообществ и рабочих кадров "Молодые профессионалы (Ворлдскиллс Россия)") либо международной организацией "WorldSkills International", в том числе "WorldSkills Europe" и "WorldSkills Asia", и участника национальной сборной России по профессиональному мастерству по стандартам "Ворлдскиллс" выпускника по профилю осваиваемой образовательной программы среднего профессионального образования засчитывается в качестве оценки "отлично" по демонстрационному</w:t>
      </w:r>
      <w:proofErr w:type="gramEnd"/>
      <w:r>
        <w:t xml:space="preserve"> экзамену в рамках проведения ГИА по данной образовательной программе среднего профессионального образования.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64.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65.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66.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образовательной организации.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образовательной организации.</w:t>
      </w:r>
      <w:proofErr w:type="gramEnd"/>
    </w:p>
    <w:p w:rsidR="00D92C22" w:rsidRDefault="00D92C2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67 в ред. </w:t>
      </w:r>
      <w:hyperlink r:id="rId46">
        <w:r>
          <w:rPr>
            <w:color w:val="0000FF"/>
          </w:rPr>
          <w:t>Приказа</w:t>
        </w:r>
      </w:hyperlink>
      <w:r>
        <w:t xml:space="preserve"> Минпросвещения России от 19.01.2023 N 37)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lastRenderedPageBreak/>
        <w:t>68.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причине),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69. Дополнительные заседания ГЭК организуются в установленные образовательной организацией сроки, но не позднее четырех месяцев после подачи заявления выпускником, не прошедшим ГИА по уважительной причине.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70. Выпускники, не прошедшие ГИА по неуважительной причине, и выпускники, получившие на ГИА неудовлетворительные результаты, отчисляются из образовательной организации и проходят ГИА не ранее чем через шесть месяцев после прохождения ГИА впервые.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VI. Порядок подачи и рассмотрения апелляций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>71.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Апелляция о несогласии с результатами ГИА подается не позднее следующего рабочего дня после объявления результатов ГИА.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73. Апелляция рассматривается апелляционной комиссией не позднее трех рабочих дней с момента ее поступления.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74. Состав апелляционной комиссии утверждается образовательной организацией одновременно с утверждением состава ГЭК.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образовательной организации, не входящих в данном учебном году в состав ГЭК. </w:t>
      </w:r>
      <w:proofErr w:type="gramStart"/>
      <w:r>
        <w:t>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</w:t>
      </w:r>
      <w:proofErr w:type="gramEnd"/>
    </w:p>
    <w:p w:rsidR="00D92C22" w:rsidRDefault="00D92C22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75. Апелляция рассматривается на заседании апелляционной комиссии с участием не менее двух третей ее состава.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lastRenderedPageBreak/>
        <w:t>На заседание апелляционной комиссии приглашается председатель соответствующей ГЭК, а также главный эксперт при проведении ГИА в форме демонстрационного экзамена.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По решению председателя апелляционной комиссии заседание апелляционной комиссии может пройти с применением средств видео, </w:t>
      </w:r>
      <w:proofErr w:type="gramStart"/>
      <w:r>
        <w:t>конференц-связи</w:t>
      </w:r>
      <w:proofErr w:type="gramEnd"/>
      <w:r>
        <w:t>, а равно посредством предоставления письменных пояснений по поставленным апелляционной комиссией вопросам.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Выпускник, подавший апелляцию, имеет право присутствовать при рассмотрении апелляции.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С несовершеннолетним выпускником имеет право присутствовать один из родителей (законных представителей).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Указанные лица должны при себе иметь документы, удостоверяющие личность.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76. Рассмотрение апелляции не является пересдачей ГИА.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77.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В последнем случае результаты проведения ГИА подлежат аннулированию, в </w:t>
      </w:r>
      <w:proofErr w:type="gramStart"/>
      <w:r>
        <w:t>связи</w:t>
      </w:r>
      <w:proofErr w:type="gramEnd"/>
      <w:r>
        <w:t xml:space="preserve">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78. </w:t>
      </w:r>
      <w:proofErr w:type="gramStart"/>
      <w: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 (при наличии).</w:t>
      </w:r>
      <w:proofErr w:type="gramEnd"/>
    </w:p>
    <w:p w:rsidR="00D92C22" w:rsidRDefault="00D92C22">
      <w:pPr>
        <w:pStyle w:val="ConsPlusNormal"/>
        <w:spacing w:before="220"/>
        <w:ind w:firstLine="540"/>
        <w:jc w:val="both"/>
      </w:pPr>
      <w:r>
        <w:t>В случае рассмотрения апелляции о несогласии с результатами ГИА, полученными при защите дипломного проекта (работы), секретарь ГЭК не позднее следующего рабочего дня с момента поступления апелляции направляет в апелляционную комиссию дипломный проект (работу), протокол заседания ГЭК.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 случае рассмотрения апелляции о несогласии с результатами ГИА, полученными при сдаче государственного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письменные ответы выпускника (при их наличии).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79. В результате рассмотрения апелляции о несогласии с результатами ГИА апелляционная </w:t>
      </w:r>
      <w:r>
        <w:lastRenderedPageBreak/>
        <w:t>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80.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81. Решение апелляционной комиссии является окончательным и пересмотру не подлежит.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82.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образовательной организации.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Title"/>
        <w:jc w:val="center"/>
        <w:outlineLvl w:val="1"/>
      </w:pPr>
      <w:r>
        <w:t>VII. Особенности проведения ГИА для выпускников из числа</w:t>
      </w:r>
    </w:p>
    <w:p w:rsidR="00D92C22" w:rsidRDefault="00D92C22">
      <w:pPr>
        <w:pStyle w:val="ConsPlusTitle"/>
        <w:jc w:val="center"/>
      </w:pPr>
      <w:r>
        <w:t>лиц с ограниченными возможностями здоровья, детей-инвалидов</w:t>
      </w:r>
    </w:p>
    <w:p w:rsidR="00D92C22" w:rsidRDefault="00D92C22">
      <w:pPr>
        <w:pStyle w:val="ConsPlusTitle"/>
        <w:jc w:val="center"/>
      </w:pPr>
      <w:r>
        <w:t>и инвалидов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>83.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84. При проведении ГИА обеспечивается соблюдение следующих общих требований: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пользование необходимыми выпускникам техническими средствами при прохождении ГИА с учетом их индивидуальных особенностей;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85.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а) для слепых: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задания для выполнения, а также инструкция о порядке ГИА, комплект оценочной </w:t>
      </w:r>
      <w:r>
        <w:lastRenderedPageBreak/>
        <w:t>документации, задания демонстрационного экзамена оформляются рельефно-точечным шрифтом по системе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письменные задания выполняются на бумаге рельефно-точечным шрифтом по системе Брайля или на компьютере со специализированным программным обеспечением для слепых, или надиктовываются ассистенту;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б) для слабовидящих: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обеспечивается индивидуальное равномерное освещение не менее 300 люкс;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выпускникам для выполнения задания при необходимости предоставляется увеличивающее устройство;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задания для выполнения, а также инструкция о порядке проведения государственной аттестации оформляются увеличенным шрифтом;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в) для глухих и слабослышащих, с тяжелыми нарушениями речи: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 их желанию государственный экзамен может проводиться в письменной форме;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г)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по их желанию государственный экзамен может проводиться в устной форме;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 xml:space="preserve">д)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 (далее - справка) &lt;5&gt;.</w:t>
      </w:r>
    </w:p>
    <w:p w:rsidR="00D92C22" w:rsidRDefault="00D92C2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Минпросвещения России от 05.05.2022 N 311)</w:t>
      </w:r>
    </w:p>
    <w:p w:rsidR="00D92C22" w:rsidRDefault="00D92C2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2C22" w:rsidRDefault="00D92C22">
      <w:pPr>
        <w:pStyle w:val="ConsPlusNormal"/>
        <w:spacing w:before="220"/>
        <w:ind w:firstLine="540"/>
        <w:jc w:val="both"/>
      </w:pPr>
      <w:hyperlink r:id="rId49">
        <w:proofErr w:type="gramStart"/>
        <w:r>
          <w:rPr>
            <w:color w:val="0000FF"/>
          </w:rPr>
          <w:t>&lt;5&gt;</w:t>
        </w:r>
      </w:hyperlink>
      <w:r>
        <w:t xml:space="preserve"> </w:t>
      </w:r>
      <w:hyperlink r:id="rId50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(зарегистрирован Министерством юстиции Российской Федерации 20 января 2011 г., регистрационный N 19539), с изменениями, внесенными приказами Министерства труда и</w:t>
      </w:r>
      <w:proofErr w:type="gramEnd"/>
      <w:r>
        <w:t xml:space="preserve"> социальной защиты Российской Федерации от 17 июня 2013 г. N 272н (зарегистрирован Министерством юстиции Российской Федерации 5 августа 2013 г., регистрационный N 29265) и от </w:t>
      </w:r>
      <w:r>
        <w:lastRenderedPageBreak/>
        <w:t>17 ноября 2020 г. N 789н (зарегистрирован Министерством юстиции Российской Федерации 21 декабря 2020 г., регистрационный N 61636).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ind w:firstLine="540"/>
        <w:jc w:val="both"/>
      </w:pPr>
      <w:r>
        <w:t xml:space="preserve">86. Выпускники или родители (законные представители) несовершеннолетних выпускников не </w:t>
      </w:r>
      <w:proofErr w:type="gramStart"/>
      <w:r>
        <w:t>позднее</w:t>
      </w:r>
      <w:proofErr w:type="gramEnd"/>
      <w:r>
        <w:t xml:space="preserve">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jc w:val="both"/>
      </w:pPr>
    </w:p>
    <w:p w:rsidR="00D92C22" w:rsidRDefault="00D92C2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00BB" w:rsidRDefault="007800BB">
      <w:bookmarkStart w:id="6" w:name="_GoBack"/>
      <w:bookmarkEnd w:id="6"/>
    </w:p>
    <w:sectPr w:rsidR="007800BB" w:rsidSect="00027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22"/>
    <w:rsid w:val="007800BB"/>
    <w:rsid w:val="00D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C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C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C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C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C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2C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509C335B16431278C9CDD5E6D03C651DBE48D19BC17E03E84C4ED5051F04137FEC6046BD0B70DF35480AE8524B429A4AD2AB8AA96EC52DNEL6N" TargetMode="External"/><Relationship Id="rId18" Type="http://schemas.openxmlformats.org/officeDocument/2006/relationships/hyperlink" Target="consultantplus://offline/ref=00509C335B16431278C9CDD5E6D03C651DBE48D19BC17E03E84C4ED5051F04137FEC6046BD0B70DF35480AE8524B429A4AD2AB8AA96EC52DNEL6N" TargetMode="External"/><Relationship Id="rId26" Type="http://schemas.openxmlformats.org/officeDocument/2006/relationships/hyperlink" Target="consultantplus://offline/ref=00509C335B16431278C9CDD5E6D03C651DBB4CD198C47E03E84C4ED5051F04137FEC6046BD0B70DC31480AE8524B429A4AD2AB8AA96EC52DNEL6N" TargetMode="External"/><Relationship Id="rId39" Type="http://schemas.openxmlformats.org/officeDocument/2006/relationships/hyperlink" Target="consultantplus://offline/ref=00509C335B16431278C9CDD5E6D03C651DBE48D19BC17E03E84C4ED5051F04137FEC6046BD0B70DD37480AE8524B429A4AD2AB8AA96EC52DNEL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0509C335B16431278C9CDD5E6D03C651DBB4CD198C47E03E84C4ED5051F04137FEC6046BD0B70DF31480AE8524B429A4AD2AB8AA96EC52DNEL6N" TargetMode="External"/><Relationship Id="rId34" Type="http://schemas.openxmlformats.org/officeDocument/2006/relationships/hyperlink" Target="consultantplus://offline/ref=00509C335B16431278C9CDD5E6D03C651DBB4CD198C47E03E84C4ED5051F04137FEC6046BD0B70DC36480AE8524B429A4AD2AB8AA96EC52DNEL6N" TargetMode="External"/><Relationship Id="rId42" Type="http://schemas.openxmlformats.org/officeDocument/2006/relationships/hyperlink" Target="consultantplus://offline/ref=00509C335B16431278C9CDD5E6D03C651DBE48D19BC17E03E84C4ED5051F04137FEC6046BD0B70DA30480AE8524B429A4AD2AB8AA96EC52DNEL6N" TargetMode="External"/><Relationship Id="rId47" Type="http://schemas.openxmlformats.org/officeDocument/2006/relationships/hyperlink" Target="consultantplus://offline/ref=00509C335B16431278C9CDD5E6D03C651DBE48D19BC17E03E84C4ED5051F04137FEC6046BD0B70DA33480AE8524B429A4AD2AB8AA96EC52DNEL6N" TargetMode="External"/><Relationship Id="rId50" Type="http://schemas.openxmlformats.org/officeDocument/2006/relationships/hyperlink" Target="consultantplus://offline/ref=00509C335B16431278C9CDD5E6D03C651AB84ED191C57E03E84C4ED5051F04136DEC384ABF0C6EDF315D5CB914N1LDN" TargetMode="External"/><Relationship Id="rId7" Type="http://schemas.openxmlformats.org/officeDocument/2006/relationships/hyperlink" Target="consultantplus://offline/ref=00509C335B16431278C9CDD5E6D03C651DBB4CD198C47E03E84C4ED5051F04137FEC6046BD0B70DE36480AE8524B429A4AD2AB8AA96EC52DNEL6N" TargetMode="External"/><Relationship Id="rId12" Type="http://schemas.openxmlformats.org/officeDocument/2006/relationships/hyperlink" Target="consultantplus://offline/ref=00509C335B16431278C9CDD5E6D03C651DBE48D19BC17E03E84C4ED5051F04137FEC6046BD0B70DF33480AE8524B429A4AD2AB8AA96EC52DNEL6N" TargetMode="External"/><Relationship Id="rId17" Type="http://schemas.openxmlformats.org/officeDocument/2006/relationships/hyperlink" Target="consultantplus://offline/ref=00509C335B16431278C9CDD5E6D03C651AB946DD9EC47E03E84C4ED5051F04136DEC384ABF0C6EDF315D5CB914N1LDN" TargetMode="External"/><Relationship Id="rId25" Type="http://schemas.openxmlformats.org/officeDocument/2006/relationships/hyperlink" Target="consultantplus://offline/ref=00509C335B16431278C9CDD5E6D03C651DBC49DA9DC17E03E84C4ED5051F04137FEC6041BE087B8A61070BB4141951994CD2A88BB5N6LFN" TargetMode="External"/><Relationship Id="rId33" Type="http://schemas.openxmlformats.org/officeDocument/2006/relationships/hyperlink" Target="consultantplus://offline/ref=00509C335B16431278C9CDD5E6D03C651DBC48DD99CB7E03E84C4ED5051F04137FEC6046BD0B78DE33480AE8524B429A4AD2AB8AA96EC52DNEL6N" TargetMode="External"/><Relationship Id="rId38" Type="http://schemas.openxmlformats.org/officeDocument/2006/relationships/hyperlink" Target="consultantplus://offline/ref=00509C335B16431278C9CDD5E6D03C651DBE48D19BC17E03E84C4ED5051F04137FEC6046BD0B70DD36480AE8524B429A4AD2AB8AA96EC52DNEL6N" TargetMode="External"/><Relationship Id="rId46" Type="http://schemas.openxmlformats.org/officeDocument/2006/relationships/hyperlink" Target="consultantplus://offline/ref=00509C335B16431278C9CDD5E6D03C651DBB4CD198C47E03E84C4ED5051F04137FEC6046BD0B70DD32480AE8524B429A4AD2AB8AA96EC52DNEL6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0509C335B16431278C9CDD5E6D03C651BB74BD090C67E03E84C4ED5051F04136DEC384ABF0C6EDF315D5CB914N1LDN" TargetMode="External"/><Relationship Id="rId20" Type="http://schemas.openxmlformats.org/officeDocument/2006/relationships/hyperlink" Target="consultantplus://offline/ref=00509C335B16431278C9CDD5E6D03C651DBB4CD198C47E03E84C4ED5051F04137FEC6046BD0B70DE36480AE8524B429A4AD2AB8AA96EC52DNEL6N" TargetMode="External"/><Relationship Id="rId29" Type="http://schemas.openxmlformats.org/officeDocument/2006/relationships/hyperlink" Target="consultantplus://offline/ref=00509C335B16431278C9CDD5E6D03C651DBE48D19BC17E03E84C4ED5051F04137FEC6046BD0B70DD30480AE8524B429A4AD2AB8AA96EC52DNEL6N" TargetMode="External"/><Relationship Id="rId41" Type="http://schemas.openxmlformats.org/officeDocument/2006/relationships/hyperlink" Target="consultantplus://offline/ref=00509C335B16431278C9CDD5E6D03C651DBE48D19BC17E03E84C4ED5051F04137FEC6046BD0B70DD39480AE8524B429A4AD2AB8AA96EC52DNEL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509C335B16431278C9CDD5E6D03C651DBE48D19BC17E03E84C4ED5051F04137FEC6046BD0B70DE36480AE8524B429A4AD2AB8AA96EC52DNEL6N" TargetMode="External"/><Relationship Id="rId11" Type="http://schemas.openxmlformats.org/officeDocument/2006/relationships/hyperlink" Target="consultantplus://offline/ref=00509C335B16431278C9CDD5E6D03C651AB946DC9BC07E03E84C4ED5051F04137FEC6046BD0B70DF33480AE8524B429A4AD2AB8AA96EC52DNEL6N" TargetMode="External"/><Relationship Id="rId24" Type="http://schemas.openxmlformats.org/officeDocument/2006/relationships/hyperlink" Target="consultantplus://offline/ref=00509C335B16431278C9CDD5E6D03C651DBE48D19BC17E03E84C4ED5051F04137FEC6046BD0B70DF39480AE8524B429A4AD2AB8AA96EC52DNEL6N" TargetMode="External"/><Relationship Id="rId32" Type="http://schemas.openxmlformats.org/officeDocument/2006/relationships/hyperlink" Target="consultantplus://offline/ref=00509C335B16431278C9CDD5E6D03C651DBE48D19BC17E03E84C4ED5051F04137FEC6046BD0B70DC39480AE8524B429A4AD2AB8AA96EC52DNEL6N" TargetMode="External"/><Relationship Id="rId37" Type="http://schemas.openxmlformats.org/officeDocument/2006/relationships/hyperlink" Target="consultantplus://offline/ref=00509C335B16431278C9CDD5E6D03C651DBB4CD198C47E03E84C4ED5051F04137FEC6046BD0B70DD30480AE8524B429A4AD2AB8AA96EC52DNEL6N" TargetMode="External"/><Relationship Id="rId40" Type="http://schemas.openxmlformats.org/officeDocument/2006/relationships/hyperlink" Target="consultantplus://offline/ref=00509C335B16431278C9CDD5E6D03C651DBE48D19BC17E03E84C4ED5051F04137FEC6046BD0B70DD38480AE8524B429A4AD2AB8AA96EC52DNEL6N" TargetMode="External"/><Relationship Id="rId45" Type="http://schemas.openxmlformats.org/officeDocument/2006/relationships/hyperlink" Target="consultantplus://offline/ref=00509C335B16431278C9CDD5E6D03C651DBB4CD198C47E03E84C4ED5051F04137FEC6046BD0B70DD31480AE8524B429A4AD2AB8AA96EC52DNEL6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0509C335B16431278C9CDD5E6D03C6518BA46D09DC17E03E84C4ED5051F04136DEC384ABF0C6EDF315D5CB914N1LDN" TargetMode="External"/><Relationship Id="rId23" Type="http://schemas.openxmlformats.org/officeDocument/2006/relationships/hyperlink" Target="consultantplus://offline/ref=00509C335B16431278C9CDD5E6D03C651DBB4CD198C47E03E84C4ED5051F04137FEC6046BD0B70DF38480AE8524B429A4AD2AB8AA96EC52DNEL6N" TargetMode="External"/><Relationship Id="rId28" Type="http://schemas.openxmlformats.org/officeDocument/2006/relationships/hyperlink" Target="consultantplus://offline/ref=00509C335B16431278C9CDD5E6D03C651DBE48D19BC17E03E84C4ED5051F04137FEC6046BD0B70DD31480AE8524B429A4AD2AB8AA96EC52DNEL6N" TargetMode="External"/><Relationship Id="rId36" Type="http://schemas.openxmlformats.org/officeDocument/2006/relationships/hyperlink" Target="consultantplus://offline/ref=00509C335B16431278C9CDD5E6D03C651DBB4CD198C47E03E84C4ED5051F04137FEC6046BD0B70DC38480AE8524B429A4AD2AB8AA96EC52DNEL6N" TargetMode="External"/><Relationship Id="rId49" Type="http://schemas.openxmlformats.org/officeDocument/2006/relationships/hyperlink" Target="consultantplus://offline/ref=00509C335B16431278C9CDD5E6D03C651DBE48D19BC17E03E84C4ED5051F04137FEC6046BD0B70DC39480AE8524B429A4AD2AB8AA96EC52DNEL6N" TargetMode="External"/><Relationship Id="rId10" Type="http://schemas.openxmlformats.org/officeDocument/2006/relationships/hyperlink" Target="consultantplus://offline/ref=00509C335B16431278C9CDD5E6D03C651DBA46DC90C67E03E84C4ED5051F04137FEC6046BC00248F741653BB11004E9953CEAA89NBL4N" TargetMode="External"/><Relationship Id="rId19" Type="http://schemas.openxmlformats.org/officeDocument/2006/relationships/hyperlink" Target="consultantplus://offline/ref=00509C335B16431278C9CDD5E6D03C651DBE48D19BC17E03E84C4ED5051F04137FEC6046BD0B70DF36480AE8524B429A4AD2AB8AA96EC52DNEL6N" TargetMode="External"/><Relationship Id="rId31" Type="http://schemas.openxmlformats.org/officeDocument/2006/relationships/hyperlink" Target="consultantplus://offline/ref=00509C335B16431278C9CDD5E6D03C651DBE48D19BC17E03E84C4ED5051F04137FEC6046BD0B70DC39480AE8524B429A4AD2AB8AA96EC52DNEL6N" TargetMode="External"/><Relationship Id="rId44" Type="http://schemas.openxmlformats.org/officeDocument/2006/relationships/hyperlink" Target="consultantplus://offline/ref=00509C335B16431278C9CDD5E6D03C651DBE48D19BC17E03E84C4ED5051F04137FEC6046BD0B70DA32480AE8524B429A4AD2AB8AA96EC52DNEL6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509C335B16431278C9CDD5E6D03C651DBA46DC90C67E03E84C4ED5051F04137FEC6046BD0B70DF35480AE8524B429A4AD2AB8AA96EC52DNEL6N" TargetMode="External"/><Relationship Id="rId14" Type="http://schemas.openxmlformats.org/officeDocument/2006/relationships/hyperlink" Target="consultantplus://offline/ref=00509C335B16431278C9CDD5E6D03C651AB946DC9BC07E03E84C4ED5051F04136DEC384ABF0C6EDF315D5CB914N1LDN" TargetMode="External"/><Relationship Id="rId22" Type="http://schemas.openxmlformats.org/officeDocument/2006/relationships/hyperlink" Target="consultantplus://offline/ref=00509C335B16431278C9CDD5E6D03C651DBC49DA9DC17E03E84C4ED5051F04137FEC6041BE087B8A61070BB4141951994CD2A88BB5N6LFN" TargetMode="External"/><Relationship Id="rId27" Type="http://schemas.openxmlformats.org/officeDocument/2006/relationships/hyperlink" Target="consultantplus://offline/ref=00509C335B16431278C9CDD5E6D03C651DBB4CD198C47E03E84C4ED5051F04137FEC6046BD0B70DC33480AE8524B429A4AD2AB8AA96EC52DNEL6N" TargetMode="External"/><Relationship Id="rId30" Type="http://schemas.openxmlformats.org/officeDocument/2006/relationships/hyperlink" Target="consultantplus://offline/ref=00509C335B16431278C9CDD5E6D03C651DBB4CD198C47E03E84C4ED5051F04137FEC6046BD0B70DC35480AE8524B429A4AD2AB8AA96EC52DNEL6N" TargetMode="External"/><Relationship Id="rId35" Type="http://schemas.openxmlformats.org/officeDocument/2006/relationships/hyperlink" Target="consultantplus://offline/ref=00509C335B16431278C9CDD5E6D03C651DBA46DC90C67E03E84C4ED5051F04137FEC6046BD0B70DF37480AE8524B429A4AD2AB8AA96EC52DNEL6N" TargetMode="External"/><Relationship Id="rId43" Type="http://schemas.openxmlformats.org/officeDocument/2006/relationships/hyperlink" Target="consultantplus://offline/ref=00509C335B16431278C9CDD5E6D03C651DBE48D19BC17E03E84C4ED5051F04137FEC6046BD0B70DA32480AE8524B429A4AD2AB8AA96EC52DNEL6N" TargetMode="External"/><Relationship Id="rId48" Type="http://schemas.openxmlformats.org/officeDocument/2006/relationships/hyperlink" Target="consultantplus://offline/ref=00509C335B16431278C9CDD5E6D03C651DBE48D19BC17E03E84C4ED5051F04137FEC6046BD0B70DC39480AE8524B429A4AD2AB8AA96EC52DNEL6N" TargetMode="External"/><Relationship Id="rId8" Type="http://schemas.openxmlformats.org/officeDocument/2006/relationships/hyperlink" Target="consultantplus://offline/ref=00509C335B16431278C9CDD5E6D03C651DBC48DD99CB7E03E84C4ED5051F04137FEC6045B90E7B8A61070BB4141951994CD2A88BB5N6LF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8663</Words>
  <Characters>49380</Characters>
  <Application>Microsoft Office Word</Application>
  <DocSecurity>0</DocSecurity>
  <Lines>411</Lines>
  <Paragraphs>115</Paragraphs>
  <ScaleCrop>false</ScaleCrop>
  <Company/>
  <LinksUpToDate>false</LinksUpToDate>
  <CharactersWithSpaces>57928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ErinaLI</dc:creator>
  <cp:lastModifiedBy>ErinaLI</cp:lastModifiedBy>
  <cp:revision>1</cp:revision>
  <dcterms:created xsi:type="dcterms:W3CDTF">2023-11-27T13:11:00Z</dcterms:created>
  <dcterms:modified xsi:type="dcterms:W3CDTF">2023-11-27T13:11:00Z</dcterms:modified>
</cp:coreProperties>
</file>